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8ABF5" w14:textId="77777777" w:rsidR="003F3AA3" w:rsidRDefault="003F3AA3" w:rsidP="003F3AA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5B6AE095" w14:textId="3BD22D19" w:rsidR="002C3542" w:rsidRPr="003F3AA3" w:rsidRDefault="005E436B" w:rsidP="003F3AA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C0C0F"/>
          <w:sz w:val="22"/>
          <w:szCs w:val="22"/>
        </w:rPr>
      </w:pPr>
      <w:r w:rsidRPr="003F3AA3">
        <w:rPr>
          <w:rFonts w:asciiTheme="minorHAnsi" w:hAnsiTheme="minorHAnsi" w:cs="Arial"/>
          <w:sz w:val="22"/>
          <w:szCs w:val="22"/>
        </w:rPr>
        <w:t>L’art. 12 della Legge sull’Ordinamento Professionale Forense impone all’avvocato, come alle associazioni o alle società tra professionisti, l’obbligo di munirsi di una “polizza assicurativa a copertura della responsabilità civile derivante dall’esercizio della professione, compresa quella per la custodia di documenti, somme di denaro, titoli e valori ricevuti in deposito dai clienti”.</w:t>
      </w:r>
      <w:r w:rsidR="0052525D" w:rsidRPr="003F3AA3">
        <w:rPr>
          <w:rFonts w:asciiTheme="minorHAnsi" w:hAnsiTheme="minorHAnsi" w:cs="Arial"/>
          <w:sz w:val="22"/>
          <w:szCs w:val="22"/>
        </w:rPr>
        <w:t xml:space="preserve"> </w:t>
      </w:r>
      <w:r w:rsidR="00045160" w:rsidRPr="003F3AA3"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  <w:t>I</w:t>
      </w:r>
      <w:r w:rsidR="002C3542" w:rsidRPr="003F3AA3"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  <w:t>l decreto del Ministero della Giustizia 22 settembre 2016, stabilisce le condizioni essenziali ed i massimali minimi delle polizze assicurative a copertura della responsabilità civile e degli infortuni derivanti dall'esercizio dell'attività forense (</w:t>
      </w:r>
      <w:hyperlink r:id="rId7" w:history="1">
        <w:r w:rsidR="002C3542" w:rsidRPr="003F3AA3">
          <w:rPr>
            <w:rStyle w:val="Collegamentoipertestuale"/>
            <w:rFonts w:asciiTheme="minorHAnsi" w:hAnsiTheme="minorHAnsi" w:cs="Arial"/>
            <w:color w:val="1E5192"/>
            <w:sz w:val="22"/>
            <w:szCs w:val="22"/>
            <w:u w:val="none"/>
            <w:bdr w:val="none" w:sz="0" w:space="0" w:color="auto" w:frame="1"/>
          </w:rPr>
          <w:t>G.U. n. 238 dell'11 novembre 2016</w:t>
        </w:r>
      </w:hyperlink>
      <w:r w:rsidR="002C3542" w:rsidRPr="003F3AA3"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  <w:t>).</w:t>
      </w:r>
    </w:p>
    <w:p w14:paraId="03A08549" w14:textId="4632A188" w:rsidR="00764549" w:rsidRPr="003F3AA3" w:rsidRDefault="002C3542" w:rsidP="003F3AA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</w:pPr>
      <w:r w:rsidRPr="003F3AA3"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  <w:t xml:space="preserve">Il decreto </w:t>
      </w:r>
      <w:r w:rsidR="004A7ABB" w:rsidRPr="003F3AA3"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  <w:t>entra</w:t>
      </w:r>
      <w:r w:rsidR="00045160" w:rsidRPr="003F3AA3"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  <w:t xml:space="preserve"> in vigore </w:t>
      </w:r>
      <w:r w:rsidRPr="003F3AA3"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  <w:t>l'11 ottobre 2017</w:t>
      </w:r>
      <w:r w:rsidR="00045160" w:rsidRPr="003F3AA3"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  <w:t>.</w:t>
      </w:r>
      <w:r w:rsidR="00764549" w:rsidRPr="003F3AA3">
        <w:rPr>
          <w:rFonts w:asciiTheme="minorHAnsi" w:hAnsiTheme="minorHAnsi" w:cs="Arial"/>
          <w:color w:val="0C0C0F"/>
          <w:sz w:val="22"/>
          <w:szCs w:val="22"/>
          <w:bdr w:val="none" w:sz="0" w:space="0" w:color="auto" w:frame="1"/>
        </w:rPr>
        <w:t xml:space="preserve"> </w:t>
      </w:r>
    </w:p>
    <w:p w14:paraId="652E6398" w14:textId="5D9DE946" w:rsidR="007E19FE" w:rsidRPr="003F3AA3" w:rsidRDefault="00764549" w:rsidP="003F3AA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</w:pPr>
      <w:r w:rsidRPr="003F3AA3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>Ciò</w:t>
      </w:r>
      <w:r w:rsidRPr="003F3AA3">
        <w:rPr>
          <w:rFonts w:asciiTheme="minorHAnsi" w:hAnsiTheme="minorHAnsi" w:cs="Arial"/>
          <w:color w:val="000000" w:themeColor="text1"/>
          <w:sz w:val="22"/>
          <w:szCs w:val="22"/>
        </w:rPr>
        <w:t xml:space="preserve"> ha indotto il Consiglio</w:t>
      </w:r>
      <w:r w:rsidRPr="003F3AA3">
        <w:rPr>
          <w:rFonts w:asciiTheme="minorHAnsi" w:hAnsiTheme="minorHAnsi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5E436B" w:rsidRPr="003F3AA3">
        <w:rPr>
          <w:rFonts w:asciiTheme="minorHAnsi" w:hAnsiTheme="minorHAnsi" w:cs="Arial"/>
          <w:color w:val="000000" w:themeColor="text1"/>
          <w:sz w:val="22"/>
          <w:szCs w:val="22"/>
        </w:rPr>
        <w:t xml:space="preserve">anche considerando che la </w:t>
      </w:r>
      <w:r w:rsidRPr="003F3AA3">
        <w:rPr>
          <w:rFonts w:asciiTheme="minorHAnsi" w:hAnsiTheme="minorHAnsi" w:cs="Arial"/>
          <w:color w:val="000000" w:themeColor="text1"/>
          <w:sz w:val="22"/>
          <w:szCs w:val="22"/>
        </w:rPr>
        <w:t>legge professionale</w:t>
      </w:r>
      <w:r w:rsidR="005E436B" w:rsidRPr="003F3AA3">
        <w:rPr>
          <w:rFonts w:asciiTheme="minorHAnsi" w:hAnsiTheme="minorHAnsi" w:cs="Arial"/>
          <w:color w:val="000000" w:themeColor="text1"/>
          <w:sz w:val="22"/>
          <w:szCs w:val="22"/>
        </w:rPr>
        <w:t xml:space="preserve"> prevede espressamente la facoltà per gli Ordini territoriali di agevolare gli iscritti all’albo mediante la stipula di convenzioni con imprese di assicurazioni, a costituire all’interno del sito una sezione autonoma</w:t>
      </w:r>
      <w:r w:rsidRPr="003F3AA3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5E436B" w:rsidRPr="003F3AA3">
        <w:rPr>
          <w:rFonts w:asciiTheme="minorHAnsi" w:hAnsiTheme="minorHAnsi" w:cs="Arial"/>
          <w:color w:val="000000" w:themeColor="text1"/>
          <w:sz w:val="22"/>
          <w:szCs w:val="22"/>
        </w:rPr>
        <w:t xml:space="preserve"> attraverso la quale </w:t>
      </w:r>
      <w:r w:rsidR="00BB7B4A" w:rsidRPr="003F3AA3">
        <w:rPr>
          <w:rFonts w:asciiTheme="minorHAnsi" w:hAnsiTheme="minorHAnsi" w:cs="Arial"/>
          <w:color w:val="000000" w:themeColor="text1"/>
          <w:sz w:val="22"/>
          <w:szCs w:val="22"/>
        </w:rPr>
        <w:t>segnalare agli iscritti</w:t>
      </w:r>
      <w:r w:rsidR="005E436B" w:rsidRPr="003F3AA3">
        <w:rPr>
          <w:rFonts w:asciiTheme="minorHAnsi" w:hAnsiTheme="minorHAnsi" w:cs="Arial"/>
          <w:color w:val="000000" w:themeColor="text1"/>
          <w:sz w:val="22"/>
          <w:szCs w:val="22"/>
        </w:rPr>
        <w:t xml:space="preserve"> eventuali offerte </w:t>
      </w:r>
      <w:r w:rsidR="00BB7B4A" w:rsidRPr="003F3AA3">
        <w:rPr>
          <w:rFonts w:asciiTheme="minorHAnsi" w:hAnsiTheme="minorHAnsi" w:cs="Arial"/>
          <w:color w:val="000000" w:themeColor="text1"/>
          <w:sz w:val="22"/>
          <w:szCs w:val="22"/>
        </w:rPr>
        <w:t>pervenute</w:t>
      </w:r>
      <w:r w:rsidR="005E436B" w:rsidRPr="003F3AA3">
        <w:rPr>
          <w:rFonts w:asciiTheme="minorHAnsi" w:hAnsiTheme="minorHAnsi" w:cs="Arial"/>
          <w:color w:val="000000" w:themeColor="text1"/>
          <w:sz w:val="22"/>
          <w:szCs w:val="22"/>
        </w:rPr>
        <w:t xml:space="preserve"> al Consiglio da parte di società assicuratrici </w:t>
      </w:r>
      <w:r w:rsidR="00BB7B4A" w:rsidRPr="003F3AA3">
        <w:rPr>
          <w:rFonts w:asciiTheme="minorHAnsi" w:hAnsiTheme="minorHAnsi" w:cs="Arial"/>
          <w:color w:val="000000" w:themeColor="text1"/>
          <w:sz w:val="22"/>
          <w:szCs w:val="22"/>
        </w:rPr>
        <w:t>rispettose di</w:t>
      </w:r>
      <w:r w:rsidR="005E436B" w:rsidRPr="003F3AA3">
        <w:rPr>
          <w:rFonts w:asciiTheme="minorHAnsi" w:hAnsiTheme="minorHAnsi" w:cs="Arial"/>
          <w:color w:val="000000" w:themeColor="text1"/>
          <w:sz w:val="22"/>
          <w:szCs w:val="22"/>
        </w:rPr>
        <w:t xml:space="preserve"> determinati standard qualitativi, senza che ciò ovviamente comporti l’assunzione da parte del Consiglio di qualsivoglia garanzia rispetto ai contratti eventualmente stipulati.</w:t>
      </w:r>
    </w:p>
    <w:p w14:paraId="0E0B0CD5" w14:textId="77777777" w:rsidR="00BB7B4A" w:rsidRPr="003F3AA3" w:rsidRDefault="00764549" w:rsidP="003F3AA3">
      <w:pPr>
        <w:spacing w:after="0"/>
        <w:jc w:val="both"/>
        <w:rPr>
          <w:rFonts w:asciiTheme="minorHAnsi" w:hAnsiTheme="minorHAnsi" w:cs="Arial"/>
        </w:rPr>
      </w:pPr>
      <w:r w:rsidRPr="003F3AA3">
        <w:rPr>
          <w:rFonts w:asciiTheme="minorHAnsi" w:hAnsiTheme="minorHAnsi" w:cs="Arial"/>
        </w:rPr>
        <w:t>I</w:t>
      </w:r>
      <w:r w:rsidR="005E436B" w:rsidRPr="003F3AA3">
        <w:rPr>
          <w:rFonts w:asciiTheme="minorHAnsi" w:hAnsiTheme="minorHAnsi" w:cs="Arial"/>
        </w:rPr>
        <w:t xml:space="preserve">l Consiglio dell’Ordine degli Avvocati di Brescia ha ritenuto di poter richiedere ad AON spa la ricerca di un prodotto assicurativo </w:t>
      </w:r>
      <w:r w:rsidRPr="003F3AA3">
        <w:rPr>
          <w:rFonts w:asciiTheme="minorHAnsi" w:hAnsiTheme="minorHAnsi" w:cs="Arial"/>
        </w:rPr>
        <w:t xml:space="preserve">che soddisfi tutte le </w:t>
      </w:r>
      <w:r w:rsidR="005E436B" w:rsidRPr="003F3AA3">
        <w:rPr>
          <w:rFonts w:asciiTheme="minorHAnsi" w:hAnsiTheme="minorHAnsi" w:cs="Arial"/>
        </w:rPr>
        <w:t>condizioni ri</w:t>
      </w:r>
      <w:r w:rsidRPr="003F3AA3">
        <w:rPr>
          <w:rFonts w:asciiTheme="minorHAnsi" w:hAnsiTheme="minorHAnsi" w:cs="Arial"/>
        </w:rPr>
        <w:t xml:space="preserve">chieste dal Regolamento Ministeriale 11.11.2016. </w:t>
      </w:r>
    </w:p>
    <w:p w14:paraId="0FAE7010" w14:textId="4847D337" w:rsidR="00764549" w:rsidRPr="003F3AA3" w:rsidRDefault="005E436B" w:rsidP="003F3AA3">
      <w:pPr>
        <w:spacing w:after="0"/>
        <w:jc w:val="both"/>
        <w:rPr>
          <w:rFonts w:asciiTheme="minorHAnsi" w:hAnsiTheme="minorHAnsi" w:cs="Arial"/>
        </w:rPr>
      </w:pPr>
      <w:r w:rsidRPr="003F3AA3">
        <w:rPr>
          <w:rFonts w:asciiTheme="minorHAnsi" w:hAnsiTheme="minorHAnsi" w:cs="Arial"/>
        </w:rPr>
        <w:t xml:space="preserve">Naturalmente </w:t>
      </w:r>
      <w:r w:rsidRPr="003F3AA3">
        <w:rPr>
          <w:rFonts w:asciiTheme="minorHAnsi" w:hAnsiTheme="minorHAnsi" w:cs="Arial"/>
          <w:u w:val="single"/>
        </w:rPr>
        <w:t xml:space="preserve">il Consiglio </w:t>
      </w:r>
      <w:r w:rsidR="00BB7B4A" w:rsidRPr="003F3AA3">
        <w:rPr>
          <w:rFonts w:asciiTheme="minorHAnsi" w:hAnsiTheme="minorHAnsi" w:cs="Arial"/>
          <w:u w:val="single"/>
        </w:rPr>
        <w:t xml:space="preserve">segnalerà, con la pubblicazione sul sito, </w:t>
      </w:r>
      <w:r w:rsidRPr="003F3AA3">
        <w:rPr>
          <w:rFonts w:asciiTheme="minorHAnsi" w:hAnsiTheme="minorHAnsi" w:cs="Arial"/>
          <w:u w:val="single"/>
        </w:rPr>
        <w:t>anche prodotti provenienti da soggetti div</w:t>
      </w:r>
      <w:r w:rsidR="00BB7B4A" w:rsidRPr="003F3AA3">
        <w:rPr>
          <w:rFonts w:asciiTheme="minorHAnsi" w:hAnsiTheme="minorHAnsi" w:cs="Arial"/>
          <w:u w:val="single"/>
        </w:rPr>
        <w:t>ersi</w:t>
      </w:r>
      <w:r w:rsidR="00BB7B4A" w:rsidRPr="003F3AA3">
        <w:rPr>
          <w:rFonts w:asciiTheme="minorHAnsi" w:hAnsiTheme="minorHAnsi" w:cs="Arial"/>
        </w:rPr>
        <w:t>, purché gli stessi risponda</w:t>
      </w:r>
      <w:r w:rsidRPr="003F3AA3">
        <w:rPr>
          <w:rFonts w:asciiTheme="minorHAnsi" w:hAnsiTheme="minorHAnsi" w:cs="Arial"/>
        </w:rPr>
        <w:t>no ai criteri di qualità garantiti da AON spa, di seguito esemplificativamente indicati:</w:t>
      </w:r>
    </w:p>
    <w:p w14:paraId="0F3AB669" w14:textId="77777777" w:rsidR="00BB7B4A" w:rsidRPr="003F3AA3" w:rsidRDefault="00BB7B4A" w:rsidP="003F3AA3">
      <w:pPr>
        <w:spacing w:after="0"/>
        <w:jc w:val="both"/>
        <w:rPr>
          <w:rFonts w:asciiTheme="minorHAnsi" w:hAnsiTheme="minorHAnsi" w:cs="Arial"/>
        </w:rPr>
      </w:pPr>
    </w:p>
    <w:p w14:paraId="7BAF8F38" w14:textId="77777777" w:rsidR="00BB7B4A" w:rsidRPr="003F3AA3" w:rsidRDefault="00BB7B4A" w:rsidP="003F3AA3">
      <w:pPr>
        <w:spacing w:after="0"/>
        <w:jc w:val="both"/>
        <w:textAlignment w:val="baseline"/>
        <w:rPr>
          <w:rFonts w:asciiTheme="minorHAnsi" w:hAnsiTheme="minorHAnsi" w:cs="Arial"/>
          <w:lang w:eastAsia="it-IT"/>
        </w:rPr>
      </w:pPr>
      <w:r w:rsidRPr="003F3AA3">
        <w:rPr>
          <w:rFonts w:asciiTheme="minorHAnsi" w:hAnsiTheme="minorHAnsi" w:cs="Arial"/>
          <w:b/>
          <w:bCs/>
          <w:bdr w:val="none" w:sz="0" w:space="0" w:color="auto" w:frame="1"/>
          <w:lang w:eastAsia="it-IT"/>
        </w:rPr>
        <w:t>Assicurazione per la responsabilità civile professionale</w:t>
      </w:r>
    </w:p>
    <w:p w14:paraId="4544549B" w14:textId="77777777" w:rsidR="00BB7B4A" w:rsidRPr="003F3AA3" w:rsidRDefault="00BB7B4A" w:rsidP="003F3AA3">
      <w:pPr>
        <w:spacing w:after="0"/>
        <w:jc w:val="both"/>
        <w:textAlignment w:val="baseline"/>
        <w:rPr>
          <w:rFonts w:asciiTheme="minorHAnsi" w:hAnsiTheme="minorHAnsi" w:cs="Arial"/>
          <w:lang w:eastAsia="it-IT"/>
        </w:rPr>
      </w:pPr>
      <w:r w:rsidRPr="003F3AA3">
        <w:rPr>
          <w:rFonts w:asciiTheme="minorHAnsi" w:hAnsiTheme="minorHAnsi" w:cs="Arial"/>
          <w:lang w:eastAsia="it-IT"/>
        </w:rPr>
        <w:t>L'assicurazione deve coprire la responsabilità civile dell'avvocato per tutti i danni che questi possa causare, per colpa anche grave, a clienti e a terzi nello svolgimento dell'attività professionale.</w:t>
      </w:r>
    </w:p>
    <w:p w14:paraId="059D107A" w14:textId="696E9167" w:rsidR="00BB7B4A" w:rsidRPr="003F3AA3" w:rsidRDefault="00BB7B4A" w:rsidP="003F3AA3">
      <w:pPr>
        <w:spacing w:after="0"/>
        <w:jc w:val="both"/>
        <w:textAlignment w:val="baseline"/>
        <w:rPr>
          <w:rFonts w:asciiTheme="minorHAnsi" w:hAnsiTheme="minorHAnsi" w:cs="Arial"/>
          <w:lang w:eastAsia="it-IT"/>
        </w:rPr>
      </w:pPr>
      <w:r w:rsidRPr="003F3AA3">
        <w:rPr>
          <w:rFonts w:asciiTheme="minorHAnsi" w:hAnsiTheme="minorHAnsi" w:cs="Arial"/>
          <w:bdr w:val="none" w:sz="0" w:space="0" w:color="auto" w:frame="1"/>
          <w:lang w:eastAsia="it-IT"/>
        </w:rPr>
        <w:t>Qualunque tipo di danno deve essere assicurato: patrimoniale, non patrimoniale, indiretto, permanente, temporaneo, futuro.</w:t>
      </w:r>
    </w:p>
    <w:p w14:paraId="758DD037" w14:textId="77777777" w:rsidR="00BB7B4A" w:rsidRPr="003F3AA3" w:rsidRDefault="00BB7B4A" w:rsidP="003F3AA3">
      <w:pPr>
        <w:spacing w:after="0"/>
        <w:jc w:val="both"/>
        <w:textAlignment w:val="baseline"/>
        <w:rPr>
          <w:rFonts w:asciiTheme="minorHAnsi" w:hAnsiTheme="minorHAnsi" w:cs="Arial"/>
          <w:lang w:eastAsia="it-IT"/>
        </w:rPr>
      </w:pPr>
      <w:r w:rsidRPr="003F3AA3">
        <w:rPr>
          <w:rFonts w:asciiTheme="minorHAnsi" w:hAnsiTheme="minorHAnsi" w:cs="Arial"/>
          <w:bdr w:val="none" w:sz="0" w:space="0" w:color="auto" w:frame="1"/>
          <w:lang w:eastAsia="it-IT"/>
        </w:rPr>
        <w:t>Non rientrano tra i terzi i collaboratori ed i familiari dell'assicurato.</w:t>
      </w:r>
    </w:p>
    <w:p w14:paraId="5C79BB26" w14:textId="6A5B6A42" w:rsidR="00BB7B4A" w:rsidRPr="003F3AA3" w:rsidRDefault="00BB7B4A" w:rsidP="003F3AA3">
      <w:pPr>
        <w:spacing w:after="0"/>
        <w:jc w:val="both"/>
        <w:textAlignment w:val="baseline"/>
        <w:rPr>
          <w:rFonts w:asciiTheme="minorHAnsi" w:hAnsiTheme="minorHAnsi" w:cs="Arial"/>
          <w:lang w:eastAsia="it-IT"/>
        </w:rPr>
      </w:pPr>
      <w:r w:rsidRPr="003F3AA3">
        <w:rPr>
          <w:rFonts w:asciiTheme="minorHAnsi" w:hAnsiTheme="minorHAnsi" w:cs="Arial"/>
          <w:bdr w:val="none" w:sz="0" w:space="0" w:color="auto" w:frame="1"/>
          <w:lang w:eastAsia="it-IT"/>
        </w:rPr>
        <w:t>Ai</w:t>
      </w:r>
      <w:r w:rsidR="00E2696D" w:rsidRPr="003F3AA3">
        <w:rPr>
          <w:rFonts w:asciiTheme="minorHAnsi" w:hAnsiTheme="minorHAnsi" w:cs="Arial"/>
          <w:bdr w:val="none" w:sz="0" w:space="0" w:color="auto" w:frame="1"/>
          <w:lang w:eastAsia="it-IT"/>
        </w:rPr>
        <w:t xml:space="preserve"> fini assicurativi l'«attività </w:t>
      </w:r>
      <w:r w:rsidRPr="003F3AA3">
        <w:rPr>
          <w:rFonts w:asciiTheme="minorHAnsi" w:hAnsiTheme="minorHAnsi" w:cs="Arial"/>
          <w:bdr w:val="none" w:sz="0" w:space="0" w:color="auto" w:frame="1"/>
          <w:lang w:eastAsia="it-IT"/>
        </w:rPr>
        <w:t>professionale» comprende i seguenti ambiti:</w:t>
      </w:r>
    </w:p>
    <w:p w14:paraId="450D93AB" w14:textId="77777777" w:rsidR="00BB7B4A" w:rsidRPr="003F3AA3" w:rsidRDefault="00BB7B4A" w:rsidP="003F3AA3">
      <w:pPr>
        <w:numPr>
          <w:ilvl w:val="0"/>
          <w:numId w:val="11"/>
        </w:numPr>
        <w:spacing w:after="0"/>
        <w:ind w:left="300"/>
        <w:jc w:val="both"/>
        <w:textAlignment w:val="baseline"/>
        <w:rPr>
          <w:rFonts w:asciiTheme="minorHAnsi" w:eastAsia="Times New Roman" w:hAnsiTheme="minorHAnsi" w:cs="Arial"/>
          <w:lang w:eastAsia="it-IT"/>
        </w:rPr>
      </w:pPr>
      <w:r w:rsidRPr="003F3AA3">
        <w:rPr>
          <w:rFonts w:asciiTheme="minorHAnsi" w:eastAsia="Times New Roman" w:hAnsiTheme="minorHAnsi" w:cs="Arial"/>
          <w:lang w:eastAsia="it-IT"/>
        </w:rPr>
        <w:t>attività di rappresentanza e difesa dinanzi all'autorità giudiziaria o ad arbitri (rituali e irrituali), e gli atti ad essa preordinati, connessi o consequenziali (ad es. l'iscrizione a ruolo della causa o l'esecuzione di notificazioni);</w:t>
      </w:r>
    </w:p>
    <w:p w14:paraId="34E6F26B" w14:textId="77777777" w:rsidR="00BB7B4A" w:rsidRPr="003F3AA3" w:rsidRDefault="00BB7B4A" w:rsidP="003F3AA3">
      <w:pPr>
        <w:numPr>
          <w:ilvl w:val="0"/>
          <w:numId w:val="11"/>
        </w:numPr>
        <w:spacing w:after="0"/>
        <w:ind w:left="300"/>
        <w:jc w:val="both"/>
        <w:textAlignment w:val="baseline"/>
        <w:rPr>
          <w:rFonts w:asciiTheme="minorHAnsi" w:eastAsia="Times New Roman" w:hAnsiTheme="minorHAnsi" w:cs="Arial"/>
          <w:lang w:eastAsia="it-IT"/>
        </w:rPr>
      </w:pPr>
      <w:r w:rsidRPr="003F3AA3">
        <w:rPr>
          <w:rFonts w:asciiTheme="minorHAnsi" w:eastAsia="Times New Roman" w:hAnsiTheme="minorHAnsi" w:cs="Arial"/>
          <w:lang w:eastAsia="it-IT"/>
        </w:rPr>
        <w:t>la consulenza o assistenza stragiudiziali;</w:t>
      </w:r>
    </w:p>
    <w:p w14:paraId="1AEED0E9" w14:textId="77777777" w:rsidR="00BB7B4A" w:rsidRPr="003F3AA3" w:rsidRDefault="00BB7B4A" w:rsidP="003F3AA3">
      <w:pPr>
        <w:numPr>
          <w:ilvl w:val="0"/>
          <w:numId w:val="11"/>
        </w:numPr>
        <w:spacing w:after="0"/>
        <w:ind w:left="300"/>
        <w:jc w:val="both"/>
        <w:textAlignment w:val="baseline"/>
        <w:rPr>
          <w:rFonts w:asciiTheme="minorHAnsi" w:eastAsia="Times New Roman" w:hAnsiTheme="minorHAnsi" w:cs="Arial"/>
          <w:lang w:eastAsia="it-IT"/>
        </w:rPr>
      </w:pPr>
      <w:r w:rsidRPr="003F3AA3">
        <w:rPr>
          <w:rFonts w:asciiTheme="minorHAnsi" w:eastAsia="Times New Roman" w:hAnsiTheme="minorHAnsi" w:cs="Arial"/>
          <w:lang w:eastAsia="it-IT"/>
        </w:rPr>
        <w:t>la redazione di pareri o contratti;</w:t>
      </w:r>
    </w:p>
    <w:p w14:paraId="56D12C8C" w14:textId="77777777" w:rsidR="00BB7B4A" w:rsidRPr="003F3AA3" w:rsidRDefault="00BB7B4A" w:rsidP="003F3AA3">
      <w:pPr>
        <w:numPr>
          <w:ilvl w:val="0"/>
          <w:numId w:val="11"/>
        </w:numPr>
        <w:spacing w:after="0"/>
        <w:ind w:left="300"/>
        <w:jc w:val="both"/>
        <w:textAlignment w:val="baseline"/>
        <w:rPr>
          <w:rFonts w:asciiTheme="minorHAnsi" w:eastAsia="Times New Roman" w:hAnsiTheme="minorHAnsi" w:cs="Arial"/>
          <w:lang w:eastAsia="it-IT"/>
        </w:rPr>
      </w:pPr>
      <w:r w:rsidRPr="003F3AA3">
        <w:rPr>
          <w:rFonts w:asciiTheme="minorHAnsi" w:eastAsia="Times New Roman" w:hAnsiTheme="minorHAnsi" w:cs="Arial"/>
          <w:lang w:eastAsia="it-IT"/>
        </w:rPr>
        <w:t>l'assistenza del cliente nello svolgimento delle attività di mediazione o di negoziazione assistita.</w:t>
      </w:r>
    </w:p>
    <w:p w14:paraId="31A6CFA7" w14:textId="77777777" w:rsidR="00BB7B4A" w:rsidRPr="003F3AA3" w:rsidRDefault="00BB7B4A" w:rsidP="003F3AA3">
      <w:pPr>
        <w:spacing w:after="0"/>
        <w:jc w:val="both"/>
        <w:rPr>
          <w:rFonts w:asciiTheme="minorHAnsi" w:eastAsia="Times New Roman" w:hAnsiTheme="minorHAnsi" w:cs="Arial"/>
          <w:lang w:eastAsia="it-IT"/>
        </w:rPr>
      </w:pPr>
      <w:r w:rsidRPr="003F3AA3">
        <w:rPr>
          <w:rFonts w:asciiTheme="minorHAnsi" w:eastAsia="Times New Roman" w:hAnsiTheme="minorHAnsi" w:cs="Arial"/>
          <w:lang w:eastAsia="it-IT"/>
        </w:rPr>
        <w:t>Le parti possono peraltro pattuire un'estensione della copertura assicurativa ad ogni altra attività al cui svolgimento l'avvocato sia comunque abilitato.</w:t>
      </w:r>
    </w:p>
    <w:p w14:paraId="6778F682" w14:textId="77777777" w:rsidR="00BB7B4A" w:rsidRPr="003F3AA3" w:rsidRDefault="00BB7B4A" w:rsidP="003F3AA3">
      <w:pPr>
        <w:pStyle w:val="Nessunaspaziatura"/>
        <w:rPr>
          <w:rFonts w:asciiTheme="minorHAnsi" w:hAnsiTheme="minorHAnsi"/>
          <w:lang w:eastAsia="it-IT"/>
        </w:rPr>
      </w:pPr>
      <w:r w:rsidRPr="003F3AA3">
        <w:rPr>
          <w:rFonts w:asciiTheme="minorHAnsi" w:hAnsiTheme="minorHAnsi"/>
          <w:lang w:eastAsia="it-IT"/>
        </w:rPr>
        <w:t>Nel contenuto minimo sono inoltre comprese:</w:t>
      </w:r>
    </w:p>
    <w:p w14:paraId="2695C5F3" w14:textId="77777777" w:rsidR="00BB7B4A" w:rsidRPr="003F3AA3" w:rsidRDefault="00BB7B4A" w:rsidP="003F3AA3">
      <w:pPr>
        <w:pStyle w:val="Nessunaspaziatura"/>
        <w:numPr>
          <w:ilvl w:val="0"/>
          <w:numId w:val="15"/>
        </w:numPr>
        <w:ind w:left="284"/>
        <w:rPr>
          <w:rFonts w:asciiTheme="minorHAnsi" w:eastAsia="Times New Roman" w:hAnsiTheme="minorHAnsi"/>
          <w:lang w:eastAsia="it-IT"/>
        </w:rPr>
      </w:pPr>
      <w:r w:rsidRPr="003F3AA3">
        <w:rPr>
          <w:rFonts w:asciiTheme="minorHAnsi" w:eastAsia="Times New Roman" w:hAnsiTheme="minorHAnsi"/>
          <w:lang w:eastAsia="it-IT"/>
        </w:rPr>
        <w:t>la responsabilità civile derivante da fatti colposi o dolosi di collaboratori, praticanti, dipendenti, sostituti processuali;</w:t>
      </w:r>
    </w:p>
    <w:p w14:paraId="5AD7C442" w14:textId="77777777" w:rsidR="00BB7B4A" w:rsidRPr="003F3AA3" w:rsidRDefault="00BB7B4A" w:rsidP="003F3AA3">
      <w:pPr>
        <w:pStyle w:val="Nessunaspaziatura"/>
        <w:numPr>
          <w:ilvl w:val="0"/>
          <w:numId w:val="15"/>
        </w:numPr>
        <w:ind w:left="284"/>
        <w:rPr>
          <w:rFonts w:asciiTheme="minorHAnsi" w:eastAsia="Times New Roman" w:hAnsiTheme="minorHAnsi"/>
          <w:lang w:eastAsia="it-IT"/>
        </w:rPr>
      </w:pPr>
      <w:r w:rsidRPr="003F3AA3">
        <w:rPr>
          <w:rFonts w:asciiTheme="minorHAnsi" w:eastAsia="Times New Roman" w:hAnsiTheme="minorHAnsi"/>
          <w:lang w:eastAsia="it-IT"/>
        </w:rPr>
        <w:t>la responsabilità per danni derivanti dalla custodia di documenti, somme di denaro, titoli e valori ricevuti in deposito dai clienti o dalle controparti processuali di questi ultimi.</w:t>
      </w:r>
    </w:p>
    <w:p w14:paraId="2290EEAC" w14:textId="77777777" w:rsidR="00BB7B4A" w:rsidRDefault="00BB7B4A" w:rsidP="003F3AA3">
      <w:pPr>
        <w:spacing w:after="0"/>
        <w:jc w:val="both"/>
        <w:rPr>
          <w:rFonts w:asciiTheme="minorHAnsi" w:eastAsia="Times New Roman" w:hAnsiTheme="minorHAnsi" w:cs="Arial"/>
          <w:lang w:eastAsia="it-IT"/>
        </w:rPr>
      </w:pPr>
      <w:r w:rsidRPr="003F3AA3">
        <w:rPr>
          <w:rFonts w:asciiTheme="minorHAnsi" w:eastAsia="Times New Roman" w:hAnsiTheme="minorHAnsi" w:cs="Arial"/>
          <w:lang w:eastAsia="it-IT"/>
        </w:rPr>
        <w:t>In caso di responsabilità solidale dell'avvocato con altri soggetti, assicurati e non, l'assicurazione deve prevedere la copertura della responsabilità dell'avvocato per l'intero, salvo il diritto di regresso nei confronti dei condebitori solidali.</w:t>
      </w:r>
    </w:p>
    <w:p w14:paraId="6F099AD2" w14:textId="77777777" w:rsidR="003F3AA3" w:rsidRDefault="003F3AA3" w:rsidP="003F3AA3">
      <w:pPr>
        <w:spacing w:after="0"/>
        <w:jc w:val="both"/>
        <w:rPr>
          <w:rFonts w:asciiTheme="minorHAnsi" w:eastAsia="Times New Roman" w:hAnsiTheme="minorHAnsi" w:cs="Arial"/>
          <w:lang w:eastAsia="it-IT"/>
        </w:rPr>
      </w:pPr>
    </w:p>
    <w:p w14:paraId="5E85634C" w14:textId="77777777" w:rsidR="003F3AA3" w:rsidRDefault="003F3AA3" w:rsidP="003F3AA3">
      <w:pPr>
        <w:spacing w:after="0"/>
        <w:jc w:val="both"/>
        <w:rPr>
          <w:rFonts w:asciiTheme="minorHAnsi" w:eastAsia="Times New Roman" w:hAnsiTheme="minorHAnsi" w:cs="Arial"/>
          <w:lang w:eastAsia="it-IT"/>
        </w:rPr>
      </w:pPr>
    </w:p>
    <w:p w14:paraId="3E3F41F0" w14:textId="77777777" w:rsidR="003F3AA3" w:rsidRPr="003F3AA3" w:rsidRDefault="003F3AA3" w:rsidP="003F3AA3">
      <w:pPr>
        <w:spacing w:after="0"/>
        <w:jc w:val="both"/>
        <w:rPr>
          <w:rFonts w:asciiTheme="minorHAnsi" w:eastAsia="Times New Roman" w:hAnsiTheme="minorHAnsi" w:cs="Arial"/>
          <w:lang w:eastAsia="it-IT"/>
        </w:rPr>
      </w:pPr>
    </w:p>
    <w:p w14:paraId="2D20F608" w14:textId="77777777" w:rsidR="00BB7B4A" w:rsidRPr="003F3AA3" w:rsidRDefault="00BB7B4A" w:rsidP="003F3AA3">
      <w:pPr>
        <w:spacing w:after="0"/>
        <w:jc w:val="both"/>
        <w:textAlignment w:val="baseline"/>
        <w:rPr>
          <w:rFonts w:asciiTheme="minorHAnsi" w:eastAsia="Times New Roman" w:hAnsiTheme="minorHAnsi" w:cs="Arial"/>
          <w:lang w:eastAsia="it-IT"/>
        </w:rPr>
      </w:pPr>
      <w:r w:rsidRPr="003F3AA3">
        <w:rPr>
          <w:rFonts w:asciiTheme="minorHAnsi" w:eastAsia="Times New Roman" w:hAnsiTheme="minorHAnsi" w:cs="Arial"/>
          <w:color w:val="0C0C0F"/>
          <w:bdr w:val="none" w:sz="0" w:space="0" w:color="auto" w:frame="1"/>
          <w:lang w:eastAsia="it-IT"/>
        </w:rPr>
        <w:lastRenderedPageBreak/>
        <w:t>Altre disposizioni riguardano l'efficacia temporale della polizza e il diritto di recesso:</w:t>
      </w:r>
    </w:p>
    <w:p w14:paraId="648B5790" w14:textId="77777777" w:rsidR="00BB7B4A" w:rsidRPr="003F3AA3" w:rsidRDefault="00BB7B4A" w:rsidP="003F3AA3">
      <w:pPr>
        <w:numPr>
          <w:ilvl w:val="0"/>
          <w:numId w:val="13"/>
        </w:numPr>
        <w:spacing w:after="0"/>
        <w:ind w:left="300"/>
        <w:jc w:val="both"/>
        <w:textAlignment w:val="baseline"/>
        <w:rPr>
          <w:rFonts w:asciiTheme="minorHAnsi" w:eastAsia="Times New Roman" w:hAnsiTheme="minorHAnsi" w:cs="Arial"/>
          <w:color w:val="0C0C0F"/>
          <w:lang w:eastAsia="it-IT"/>
        </w:rPr>
      </w:pPr>
      <w:r w:rsidRPr="003F3AA3">
        <w:rPr>
          <w:rFonts w:asciiTheme="minorHAnsi" w:eastAsia="Times New Roman" w:hAnsiTheme="minorHAnsi" w:cs="Arial"/>
          <w:color w:val="0C0C0F"/>
          <w:lang w:eastAsia="it-IT"/>
        </w:rPr>
        <w:t>deve essere prevista, anche a favore degli eredi, l'obbligatoria retroattività illimitata e l'ultrattività almeno decennale per gli avvocati che cessano l'attività nel periodo di vigenza della polizza;</w:t>
      </w:r>
    </w:p>
    <w:p w14:paraId="50AB142A" w14:textId="413F918E" w:rsidR="00BB7B4A" w:rsidRPr="003F3AA3" w:rsidRDefault="00BB7B4A" w:rsidP="003F3AA3">
      <w:pPr>
        <w:numPr>
          <w:ilvl w:val="0"/>
          <w:numId w:val="13"/>
        </w:numPr>
        <w:spacing w:after="0"/>
        <w:ind w:left="300"/>
        <w:jc w:val="both"/>
        <w:textAlignment w:val="baseline"/>
        <w:rPr>
          <w:rFonts w:asciiTheme="minorHAnsi" w:eastAsia="Times New Roman" w:hAnsiTheme="minorHAnsi" w:cs="Arial"/>
          <w:color w:val="0C0C0F"/>
          <w:lang w:eastAsia="it-IT"/>
        </w:rPr>
      </w:pPr>
      <w:r w:rsidRPr="003F3AA3">
        <w:rPr>
          <w:rFonts w:asciiTheme="minorHAnsi" w:eastAsia="Times New Roman" w:hAnsiTheme="minorHAnsi" w:cs="Arial"/>
          <w:color w:val="0C0C0F"/>
          <w:lang w:eastAsia="it-IT"/>
        </w:rPr>
        <w:t>la polizza deve escludere il diritto di recesso dell'assicuratore dal contratto a seguito della denuncia di un sinistro o del suo risarcimento, nel corso di durata dello stess</w:t>
      </w:r>
      <w:r w:rsidR="003F3AA3" w:rsidRPr="003F3AA3">
        <w:rPr>
          <w:rFonts w:asciiTheme="minorHAnsi" w:eastAsia="Times New Roman" w:hAnsiTheme="minorHAnsi" w:cs="Arial"/>
          <w:color w:val="0C0C0F"/>
          <w:lang w:eastAsia="it-IT"/>
        </w:rPr>
        <w:t>o o del periodo di ultrattività.</w:t>
      </w:r>
    </w:p>
    <w:p w14:paraId="50CF716F" w14:textId="77777777" w:rsidR="003F3AA3" w:rsidRPr="003F3AA3" w:rsidRDefault="003F3AA3" w:rsidP="003F3AA3">
      <w:pPr>
        <w:spacing w:after="0"/>
        <w:ind w:left="-60"/>
        <w:jc w:val="both"/>
        <w:textAlignment w:val="baseline"/>
        <w:rPr>
          <w:rFonts w:asciiTheme="minorHAnsi" w:eastAsia="Times New Roman" w:hAnsiTheme="minorHAnsi" w:cs="Arial"/>
          <w:color w:val="0C0C0F"/>
          <w:lang w:eastAsia="it-IT"/>
        </w:rPr>
      </w:pPr>
    </w:p>
    <w:p w14:paraId="4E317BD4" w14:textId="77777777" w:rsidR="00BB7B4A" w:rsidRPr="003F3AA3" w:rsidRDefault="00BB7B4A" w:rsidP="003F3AA3">
      <w:pPr>
        <w:spacing w:after="0"/>
        <w:jc w:val="both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  <w:b/>
          <w:bCs/>
          <w:color w:val="0C0C0F"/>
          <w:bdr w:val="none" w:sz="0" w:space="0" w:color="auto" w:frame="1"/>
          <w:lang w:eastAsia="it-IT"/>
        </w:rPr>
        <w:t>Massimali</w:t>
      </w:r>
    </w:p>
    <w:p w14:paraId="5B68556C" w14:textId="77777777" w:rsidR="00BB7B4A" w:rsidRPr="003F3AA3" w:rsidRDefault="00BB7B4A" w:rsidP="003F3AA3">
      <w:pPr>
        <w:spacing w:after="0"/>
        <w:jc w:val="both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  <w:color w:val="0C0C0F"/>
          <w:lang w:eastAsia="it-IT"/>
        </w:rPr>
        <w:t>Nel decreto sono poi individuati i massimali minimi di copertura, distinti per fascia di rischio a seconda della forma individuale o associata dell'esercizio dell'attività e del fatturato dell'ultimo esercizio chiuso.</w:t>
      </w:r>
    </w:p>
    <w:p w14:paraId="4CA1EF2B" w14:textId="77777777" w:rsidR="00BB7B4A" w:rsidRPr="003F3AA3" w:rsidRDefault="00BB7B4A" w:rsidP="003F3AA3">
      <w:pPr>
        <w:spacing w:after="0"/>
        <w:jc w:val="both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  <w:color w:val="0C0C0F"/>
          <w:lang w:eastAsia="it-IT"/>
        </w:rPr>
        <w:t>In caso di franchigie e scoperti, tuttavia, l'assicuratore dovrà comunque risarcire il terzo per l'intero importo dovuto, salvo diritto a recuperare l'importo della franchigia o dello scoperto dall'assicurato che abbia tenuto indenne dalla pretesa risarcitoria del terzo.</w:t>
      </w:r>
    </w:p>
    <w:p w14:paraId="7B6123C7" w14:textId="77777777" w:rsidR="00BB7B4A" w:rsidRPr="003F3AA3" w:rsidRDefault="00BB7B4A" w:rsidP="003F3AA3">
      <w:pPr>
        <w:spacing w:after="0"/>
        <w:jc w:val="both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  <w:color w:val="0C0C0F"/>
          <w:lang w:eastAsia="it-IT"/>
        </w:rPr>
        <w:t>Le parti possono inoltre prevedere clausole di adeguamento del premio, nel caso di incremento del fatturato a contratto in corso.</w:t>
      </w:r>
    </w:p>
    <w:p w14:paraId="7C3FFD4F" w14:textId="77777777" w:rsidR="00E56986" w:rsidRPr="003F3AA3" w:rsidRDefault="00E56986" w:rsidP="003F3AA3">
      <w:pPr>
        <w:spacing w:after="0"/>
        <w:jc w:val="both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  <w:b/>
          <w:bCs/>
          <w:color w:val="0C0C0F"/>
          <w:bdr w:val="none" w:sz="0" w:space="0" w:color="auto" w:frame="1"/>
          <w:lang w:eastAsia="it-IT"/>
        </w:rPr>
        <w:t>Assicurazione contro gli infortuni</w:t>
      </w:r>
    </w:p>
    <w:p w14:paraId="3DE5AA19" w14:textId="2B663780" w:rsidR="00E56986" w:rsidRPr="003F3AA3" w:rsidRDefault="00E56986" w:rsidP="003F3AA3">
      <w:pPr>
        <w:spacing w:after="0"/>
        <w:jc w:val="both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  <w:color w:val="0C0C0F"/>
          <w:lang w:eastAsia="it-IT"/>
        </w:rPr>
        <w:t>L'assicurazione deve essere prevista a favore dei collaboratori, praticanti e dipendenti per i quali non sia operante la copertura assicurativa obbligatoria INAIL.</w:t>
      </w:r>
    </w:p>
    <w:p w14:paraId="2EBB583A" w14:textId="77777777" w:rsidR="00E56986" w:rsidRPr="003F3AA3" w:rsidRDefault="00E56986" w:rsidP="003F3AA3">
      <w:pPr>
        <w:spacing w:after="0"/>
        <w:jc w:val="both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  <w:color w:val="0C0C0F"/>
          <w:lang w:eastAsia="it-IT"/>
        </w:rPr>
        <w:t>La copertura è estesa agli infortuni occorsi durante lo svolgimento dell'attività professionale e a causa o in occasione di essa, i quali causino la morte, l'invalidità permanente o l'invalidità temporanea, nonché delle spese mediche; è incluso l'infortunio derivante dagli spostamenti resi necessari dallo svolgimento dell'attività professionale.</w:t>
      </w:r>
    </w:p>
    <w:p w14:paraId="6434660F" w14:textId="77777777" w:rsidR="00E56986" w:rsidRPr="003F3AA3" w:rsidRDefault="00E56986" w:rsidP="003F3AA3">
      <w:pPr>
        <w:spacing w:after="0"/>
        <w:jc w:val="both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  <w:color w:val="0C0C0F"/>
          <w:lang w:eastAsia="it-IT"/>
        </w:rPr>
        <w:t>Le somme assicurate minime sono:</w:t>
      </w:r>
    </w:p>
    <w:p w14:paraId="493C481B" w14:textId="77777777" w:rsidR="00E56986" w:rsidRPr="003F3AA3" w:rsidRDefault="00E56986" w:rsidP="003F3AA3">
      <w:pPr>
        <w:numPr>
          <w:ilvl w:val="0"/>
          <w:numId w:val="14"/>
        </w:numPr>
        <w:spacing w:after="0"/>
        <w:ind w:left="300"/>
        <w:jc w:val="both"/>
        <w:textAlignment w:val="baseline"/>
        <w:rPr>
          <w:rFonts w:asciiTheme="minorHAnsi" w:eastAsia="Times New Roman" w:hAnsiTheme="minorHAnsi" w:cs="Arial"/>
          <w:color w:val="0C0C0F"/>
          <w:lang w:eastAsia="it-IT"/>
        </w:rPr>
      </w:pPr>
      <w:r w:rsidRPr="003F3AA3">
        <w:rPr>
          <w:rFonts w:asciiTheme="minorHAnsi" w:eastAsia="Times New Roman" w:hAnsiTheme="minorHAnsi" w:cs="Arial"/>
          <w:color w:val="0C0C0F"/>
          <w:lang w:eastAsia="it-IT"/>
        </w:rPr>
        <w:t>capitale caso morte: euro 100.000,00;</w:t>
      </w:r>
    </w:p>
    <w:p w14:paraId="28A71AE9" w14:textId="77777777" w:rsidR="00E56986" w:rsidRPr="003F3AA3" w:rsidRDefault="00E56986" w:rsidP="003F3AA3">
      <w:pPr>
        <w:numPr>
          <w:ilvl w:val="0"/>
          <w:numId w:val="14"/>
        </w:numPr>
        <w:spacing w:after="0"/>
        <w:ind w:left="300"/>
        <w:jc w:val="both"/>
        <w:textAlignment w:val="baseline"/>
        <w:rPr>
          <w:rFonts w:asciiTheme="minorHAnsi" w:eastAsia="Times New Roman" w:hAnsiTheme="minorHAnsi" w:cs="Arial"/>
          <w:color w:val="0C0C0F"/>
          <w:lang w:eastAsia="it-IT"/>
        </w:rPr>
      </w:pPr>
      <w:r w:rsidRPr="003F3AA3">
        <w:rPr>
          <w:rFonts w:asciiTheme="minorHAnsi" w:eastAsia="Times New Roman" w:hAnsiTheme="minorHAnsi" w:cs="Arial"/>
          <w:color w:val="0C0C0F"/>
          <w:lang w:eastAsia="it-IT"/>
        </w:rPr>
        <w:t>capitale caso invalidità permanente: euro 100.000,00;</w:t>
      </w:r>
    </w:p>
    <w:p w14:paraId="2DC03416" w14:textId="77777777" w:rsidR="00E56986" w:rsidRPr="003F3AA3" w:rsidRDefault="00E56986" w:rsidP="003F3AA3">
      <w:pPr>
        <w:numPr>
          <w:ilvl w:val="0"/>
          <w:numId w:val="14"/>
        </w:numPr>
        <w:spacing w:after="0"/>
        <w:ind w:left="300"/>
        <w:jc w:val="both"/>
        <w:textAlignment w:val="baseline"/>
        <w:rPr>
          <w:rFonts w:asciiTheme="minorHAnsi" w:eastAsia="Times New Roman" w:hAnsiTheme="minorHAnsi" w:cs="Arial"/>
          <w:color w:val="0C0C0F"/>
          <w:lang w:eastAsia="it-IT"/>
        </w:rPr>
      </w:pPr>
      <w:r w:rsidRPr="003F3AA3">
        <w:rPr>
          <w:rFonts w:asciiTheme="minorHAnsi" w:eastAsia="Times New Roman" w:hAnsiTheme="minorHAnsi" w:cs="Arial"/>
          <w:color w:val="0C0C0F"/>
          <w:lang w:eastAsia="it-IT"/>
        </w:rPr>
        <w:t>diaria giornaliera da inabilità temporanea: euro 50,00.</w:t>
      </w:r>
    </w:p>
    <w:p w14:paraId="419B08DB" w14:textId="77777777" w:rsidR="00E56986" w:rsidRPr="003F3AA3" w:rsidRDefault="00E56986" w:rsidP="003F3AA3">
      <w:pPr>
        <w:spacing w:after="0"/>
        <w:jc w:val="both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  <w:color w:val="0C0C0F"/>
          <w:lang w:eastAsia="it-IT"/>
        </w:rPr>
        <w:t>Gli estremi delle polizze assicurative obbligatorie devono essere resi disponibili ai terzi senza alcuna formalità presso l'Ordine di appartenenza e presso il CNF, e pubblicati sui rispettivi siti internet.</w:t>
      </w:r>
    </w:p>
    <w:p w14:paraId="73AFA3BB" w14:textId="77777777" w:rsidR="00E56986" w:rsidRPr="003F3AA3" w:rsidRDefault="00E56986" w:rsidP="003F3AA3">
      <w:pPr>
        <w:spacing w:after="0"/>
        <w:jc w:val="center"/>
        <w:textAlignment w:val="baseline"/>
        <w:rPr>
          <w:rFonts w:asciiTheme="minorHAnsi" w:hAnsiTheme="minorHAnsi" w:cs="Arial"/>
          <w:color w:val="0C0C0F"/>
          <w:lang w:eastAsia="it-IT"/>
        </w:rPr>
      </w:pPr>
      <w:r w:rsidRPr="003F3AA3">
        <w:rPr>
          <w:rFonts w:asciiTheme="minorHAnsi" w:hAnsiTheme="minorHAnsi" w:cs="Arial"/>
        </w:rPr>
        <w:t>***</w:t>
      </w:r>
    </w:p>
    <w:p w14:paraId="1F714D2F" w14:textId="6208ADF5" w:rsidR="005E436B" w:rsidRPr="003F3AA3" w:rsidRDefault="00E054D8" w:rsidP="003F3AA3">
      <w:pPr>
        <w:spacing w:after="0"/>
        <w:jc w:val="both"/>
        <w:rPr>
          <w:rFonts w:asciiTheme="minorHAnsi" w:hAnsiTheme="minorHAnsi" w:cs="Arial"/>
        </w:rPr>
      </w:pPr>
      <w:hyperlink r:id="rId8" w:history="1">
        <w:r w:rsidR="000A5C64" w:rsidRPr="003F3AA3">
          <w:rPr>
            <w:rStyle w:val="Collegamentoipertestuale"/>
            <w:rFonts w:asciiTheme="minorHAnsi" w:hAnsiTheme="minorHAnsi" w:cs="Arial"/>
          </w:rPr>
          <w:t>COLLEGAMENTO AON</w:t>
        </w:r>
      </w:hyperlink>
    </w:p>
    <w:p w14:paraId="02067862" w14:textId="7CB4A3EC" w:rsidR="000A5C64" w:rsidRPr="003F3AA3" w:rsidRDefault="00CF0001" w:rsidP="003F3AA3">
      <w:pPr>
        <w:spacing w:after="0"/>
        <w:jc w:val="both"/>
        <w:rPr>
          <w:rStyle w:val="Collegamentoipertestuale"/>
          <w:rFonts w:asciiTheme="minorHAnsi" w:hAnsiTheme="minorHAnsi" w:cs="Arial"/>
        </w:rPr>
      </w:pPr>
      <w:r w:rsidRPr="003F3AA3">
        <w:rPr>
          <w:rFonts w:asciiTheme="minorHAnsi" w:hAnsiTheme="minorHAnsi" w:cs="Arial"/>
        </w:rPr>
        <w:fldChar w:fldCharType="begin"/>
      </w:r>
      <w:r w:rsidRPr="003F3AA3">
        <w:rPr>
          <w:rFonts w:asciiTheme="minorHAnsi" w:hAnsiTheme="minorHAnsi" w:cs="Arial"/>
        </w:rPr>
        <w:instrText xml:space="preserve"> HYPERLINK "http://www.consiglionazionaleforense.it/web/cnf/assicurazione-obbligatoria" </w:instrText>
      </w:r>
      <w:r w:rsidRPr="003F3AA3">
        <w:rPr>
          <w:rFonts w:asciiTheme="minorHAnsi" w:hAnsiTheme="minorHAnsi" w:cs="Arial"/>
        </w:rPr>
        <w:fldChar w:fldCharType="separate"/>
      </w:r>
      <w:r w:rsidR="000A5C64" w:rsidRPr="003F3AA3">
        <w:rPr>
          <w:rStyle w:val="Collegamentoipertestuale"/>
          <w:rFonts w:asciiTheme="minorHAnsi" w:hAnsiTheme="minorHAnsi" w:cs="Arial"/>
        </w:rPr>
        <w:t>COLLEGAMENTO CNF</w:t>
      </w:r>
    </w:p>
    <w:p w14:paraId="58AAD632" w14:textId="47CE51BB" w:rsidR="007E19FE" w:rsidRPr="003F3AA3" w:rsidRDefault="00CF0001" w:rsidP="003F3AA3">
      <w:pPr>
        <w:spacing w:after="0"/>
        <w:jc w:val="both"/>
        <w:rPr>
          <w:rFonts w:asciiTheme="minorHAnsi" w:hAnsiTheme="minorHAnsi" w:cs="Arial"/>
        </w:rPr>
      </w:pPr>
      <w:r w:rsidRPr="003F3AA3">
        <w:rPr>
          <w:rFonts w:asciiTheme="minorHAnsi" w:hAnsiTheme="minorHAnsi" w:cs="Arial"/>
        </w:rPr>
        <w:fldChar w:fldCharType="end"/>
      </w:r>
      <w:r w:rsidR="00E2696D" w:rsidRPr="003F3AA3">
        <w:rPr>
          <w:rFonts w:asciiTheme="minorHAnsi" w:hAnsiTheme="minorHAnsi" w:cs="Arial"/>
        </w:rPr>
        <w:t>Per l</w:t>
      </w:r>
      <w:r w:rsidR="005E436B" w:rsidRPr="003F3AA3">
        <w:rPr>
          <w:rFonts w:asciiTheme="minorHAnsi" w:hAnsiTheme="minorHAnsi" w:cs="Arial"/>
        </w:rPr>
        <w:t xml:space="preserve">a richiesta di preventivi, </w:t>
      </w:r>
      <w:r w:rsidR="00E2696D" w:rsidRPr="003F3AA3">
        <w:rPr>
          <w:rFonts w:asciiTheme="minorHAnsi" w:hAnsiTheme="minorHAnsi" w:cs="Arial"/>
        </w:rPr>
        <w:t>la sottoscrizione della polizza</w:t>
      </w:r>
      <w:r w:rsidR="005E436B" w:rsidRPr="003F3AA3">
        <w:rPr>
          <w:rFonts w:asciiTheme="minorHAnsi" w:hAnsiTheme="minorHAnsi" w:cs="Arial"/>
        </w:rPr>
        <w:t xml:space="preserve"> e la visione della documentazione contrattuale, </w:t>
      </w:r>
      <w:r w:rsidR="00E2696D" w:rsidRPr="003F3AA3">
        <w:rPr>
          <w:rFonts w:asciiTheme="minorHAnsi" w:hAnsiTheme="minorHAnsi" w:cs="Arial"/>
        </w:rPr>
        <w:t>è possibile collegarsi</w:t>
      </w:r>
      <w:r w:rsidR="005E436B" w:rsidRPr="003F3AA3">
        <w:rPr>
          <w:rFonts w:asciiTheme="minorHAnsi" w:hAnsiTheme="minorHAnsi" w:cs="Arial"/>
        </w:rPr>
        <w:t xml:space="preserve"> al sito dedicato di AON </w:t>
      </w:r>
      <w:r w:rsidRPr="003F3AA3">
        <w:rPr>
          <w:rFonts w:asciiTheme="minorHAnsi" w:hAnsiTheme="minorHAnsi" w:cs="Arial"/>
        </w:rPr>
        <w:t>e del C.N.F. ai</w:t>
      </w:r>
      <w:r w:rsidR="00E2696D" w:rsidRPr="003F3AA3">
        <w:rPr>
          <w:rFonts w:asciiTheme="minorHAnsi" w:hAnsiTheme="minorHAnsi" w:cs="Arial"/>
        </w:rPr>
        <w:t xml:space="preserve"> link </w:t>
      </w:r>
      <w:r w:rsidR="005E436B" w:rsidRPr="003F3AA3">
        <w:rPr>
          <w:rFonts w:asciiTheme="minorHAnsi" w:hAnsiTheme="minorHAnsi" w:cs="Arial"/>
        </w:rPr>
        <w:t>so</w:t>
      </w:r>
      <w:r w:rsidRPr="003F3AA3">
        <w:rPr>
          <w:rFonts w:asciiTheme="minorHAnsi" w:hAnsiTheme="minorHAnsi" w:cs="Arial"/>
        </w:rPr>
        <w:t>pra indicati</w:t>
      </w:r>
      <w:r w:rsidR="005E436B" w:rsidRPr="003F3AA3">
        <w:rPr>
          <w:rFonts w:asciiTheme="minorHAnsi" w:hAnsiTheme="minorHAnsi" w:cs="Arial"/>
        </w:rPr>
        <w:t xml:space="preserve">. </w:t>
      </w:r>
    </w:p>
    <w:p w14:paraId="5F5CEB39" w14:textId="551738D2" w:rsidR="00A25CDA" w:rsidRPr="003F3AA3" w:rsidRDefault="005E436B" w:rsidP="003F3AA3">
      <w:pPr>
        <w:spacing w:after="0"/>
        <w:jc w:val="both"/>
        <w:rPr>
          <w:rFonts w:asciiTheme="minorHAnsi" w:hAnsiTheme="minorHAnsi" w:cs="Arial"/>
        </w:rPr>
      </w:pPr>
      <w:r w:rsidRPr="003F3AA3">
        <w:rPr>
          <w:rFonts w:asciiTheme="minorHAnsi" w:hAnsiTheme="minorHAnsi" w:cs="Arial"/>
        </w:rPr>
        <w:t>Per richiedere il preventivo:</w:t>
      </w:r>
      <w:r w:rsidR="00A25CDA" w:rsidRPr="003F3AA3">
        <w:rPr>
          <w:rFonts w:asciiTheme="minorHAnsi" w:hAnsiTheme="minorHAnsi" w:cs="Arial"/>
        </w:rPr>
        <w:t xml:space="preserve"> è sufficiente registrarsi inserendo nome, cognome, scegliendo uno username ed indicando un proprio indirizzo email.</w:t>
      </w:r>
    </w:p>
    <w:p w14:paraId="0C6A5347" w14:textId="3FE14FF2" w:rsidR="007E19FE" w:rsidRPr="003F3AA3" w:rsidRDefault="005E436B" w:rsidP="003F3AA3">
      <w:pPr>
        <w:spacing w:after="0"/>
        <w:jc w:val="both"/>
        <w:rPr>
          <w:rFonts w:asciiTheme="minorHAnsi" w:hAnsiTheme="minorHAnsi" w:cs="Arial"/>
        </w:rPr>
      </w:pPr>
      <w:r w:rsidRPr="003F3AA3">
        <w:rPr>
          <w:rFonts w:asciiTheme="minorHAnsi" w:hAnsiTheme="minorHAnsi" w:cs="Arial"/>
        </w:rPr>
        <w:t>Effettua</w:t>
      </w:r>
      <w:r w:rsidR="003A785B" w:rsidRPr="003F3AA3">
        <w:rPr>
          <w:rFonts w:asciiTheme="minorHAnsi" w:hAnsiTheme="minorHAnsi" w:cs="Arial"/>
        </w:rPr>
        <w:t>ta la registrazione entrare con</w:t>
      </w:r>
      <w:r w:rsidRPr="003F3AA3">
        <w:rPr>
          <w:rFonts w:asciiTheme="minorHAnsi" w:hAnsiTheme="minorHAnsi" w:cs="Arial"/>
        </w:rPr>
        <w:t xml:space="preserve"> </w:t>
      </w:r>
      <w:proofErr w:type="spellStart"/>
      <w:r w:rsidR="00A25CDA" w:rsidRPr="003F3AA3">
        <w:rPr>
          <w:rFonts w:asciiTheme="minorHAnsi" w:hAnsiTheme="minorHAnsi" w:cs="Arial"/>
        </w:rPr>
        <w:t>u</w:t>
      </w:r>
      <w:r w:rsidRPr="003F3AA3">
        <w:rPr>
          <w:rFonts w:asciiTheme="minorHAnsi" w:hAnsiTheme="minorHAnsi" w:cs="Arial"/>
        </w:rPr>
        <w:t>ser</w:t>
      </w:r>
      <w:proofErr w:type="spellEnd"/>
      <w:r w:rsidRPr="003F3AA3">
        <w:rPr>
          <w:rFonts w:asciiTheme="minorHAnsi" w:hAnsiTheme="minorHAnsi" w:cs="Arial"/>
        </w:rPr>
        <w:t xml:space="preserve"> e </w:t>
      </w:r>
      <w:r w:rsidR="00A25CDA" w:rsidRPr="003F3AA3">
        <w:rPr>
          <w:rFonts w:asciiTheme="minorHAnsi" w:hAnsiTheme="minorHAnsi" w:cs="Arial"/>
        </w:rPr>
        <w:t>password e seguire le istruzioni.</w:t>
      </w:r>
    </w:p>
    <w:p w14:paraId="0B2119DB" w14:textId="77777777" w:rsidR="00E2696D" w:rsidRPr="003F3AA3" w:rsidRDefault="00E2696D" w:rsidP="003F3AA3">
      <w:pPr>
        <w:spacing w:after="0"/>
        <w:jc w:val="both"/>
        <w:rPr>
          <w:rFonts w:asciiTheme="minorHAnsi" w:hAnsiTheme="minorHAnsi" w:cs="Arial"/>
        </w:rPr>
      </w:pPr>
    </w:p>
    <w:p w14:paraId="2E0EA49E" w14:textId="77777777" w:rsidR="00E2696D" w:rsidRPr="003F3AA3" w:rsidRDefault="005E436B" w:rsidP="003F3AA3">
      <w:pPr>
        <w:spacing w:after="0"/>
        <w:jc w:val="both"/>
        <w:rPr>
          <w:rFonts w:asciiTheme="minorHAnsi" w:hAnsiTheme="minorHAnsi"/>
        </w:rPr>
      </w:pPr>
      <w:r w:rsidRPr="003F3AA3">
        <w:rPr>
          <w:rFonts w:asciiTheme="minorHAnsi" w:hAnsiTheme="minorHAnsi" w:cs="Arial"/>
        </w:rPr>
        <w:t>Per un contatto diretto:</w:t>
      </w:r>
      <w:r w:rsidR="00E2696D" w:rsidRPr="003F3AA3">
        <w:rPr>
          <w:rFonts w:asciiTheme="minorHAnsi" w:hAnsiTheme="minorHAnsi"/>
        </w:rPr>
        <w:t xml:space="preserve"> </w:t>
      </w:r>
    </w:p>
    <w:p w14:paraId="4F88473A" w14:textId="14DC91CD" w:rsidR="00E2696D" w:rsidRPr="003F3AA3" w:rsidRDefault="00E054D8" w:rsidP="003F3AA3">
      <w:pPr>
        <w:spacing w:after="0"/>
        <w:jc w:val="both"/>
        <w:rPr>
          <w:rFonts w:asciiTheme="minorHAnsi" w:eastAsia="Times New Roman" w:hAnsiTheme="minorHAnsi" w:cs="Arial"/>
          <w:lang w:eastAsia="it-IT"/>
        </w:rPr>
      </w:pPr>
      <w:hyperlink r:id="rId9" w:history="1">
        <w:r w:rsidR="00E2696D" w:rsidRPr="003F3AA3">
          <w:rPr>
            <w:rStyle w:val="Collegamentoipertestuale"/>
            <w:rFonts w:asciiTheme="minorHAnsi" w:eastAsia="Times New Roman" w:hAnsiTheme="minorHAnsi" w:cs="Arial"/>
            <w:lang w:eastAsia="it-IT"/>
          </w:rPr>
          <w:t>marcella.bani@aon.it</w:t>
        </w:r>
      </w:hyperlink>
      <w:r w:rsidR="00E2696D" w:rsidRPr="003F3AA3">
        <w:rPr>
          <w:rStyle w:val="Collegamentoipertestuale"/>
          <w:rFonts w:asciiTheme="minorHAnsi" w:eastAsia="Times New Roman" w:hAnsiTheme="minorHAnsi" w:cs="Arial"/>
          <w:u w:val="none"/>
          <w:lang w:eastAsia="it-IT"/>
        </w:rPr>
        <w:t xml:space="preserve"> - </w:t>
      </w:r>
      <w:r w:rsidR="00E2696D" w:rsidRPr="003F3AA3">
        <w:rPr>
          <w:rStyle w:val="Collegamentoipertestuale"/>
          <w:rFonts w:asciiTheme="minorHAnsi" w:eastAsia="Times New Roman" w:hAnsiTheme="minorHAnsi" w:cs="Arial"/>
          <w:color w:val="auto"/>
          <w:u w:val="none"/>
          <w:lang w:eastAsia="it-IT"/>
        </w:rPr>
        <w:t>tel. 030.3847014</w:t>
      </w:r>
    </w:p>
    <w:p w14:paraId="126E5AF8" w14:textId="0B732EC0" w:rsidR="005E436B" w:rsidRPr="003F3AA3" w:rsidRDefault="00E054D8" w:rsidP="003F3AA3">
      <w:pPr>
        <w:spacing w:after="0"/>
        <w:jc w:val="both"/>
        <w:rPr>
          <w:rFonts w:asciiTheme="minorHAnsi" w:hAnsiTheme="minorHAnsi" w:cs="Arial"/>
        </w:rPr>
      </w:pPr>
      <w:hyperlink r:id="rId10" w:history="1">
        <w:r w:rsidR="004B2A59" w:rsidRPr="003F3AA3">
          <w:rPr>
            <w:rStyle w:val="Collegamentoipertestuale"/>
            <w:rFonts w:asciiTheme="minorHAnsi" w:hAnsiTheme="minorHAnsi" w:cs="Arial"/>
          </w:rPr>
          <w:t>avvocaticnf@aon.it</w:t>
        </w:r>
      </w:hyperlink>
      <w:r w:rsidR="004B2A59" w:rsidRPr="003F3AA3">
        <w:rPr>
          <w:rFonts w:asciiTheme="minorHAnsi" w:hAnsiTheme="minorHAnsi" w:cs="Arial"/>
        </w:rPr>
        <w:t xml:space="preserve"> </w:t>
      </w:r>
    </w:p>
    <w:p w14:paraId="3C9CB66F" w14:textId="77777777" w:rsidR="008A0214" w:rsidRPr="003F3AA3" w:rsidRDefault="008A0214" w:rsidP="003F3AA3">
      <w:pPr>
        <w:spacing w:after="0"/>
        <w:jc w:val="both"/>
        <w:rPr>
          <w:rFonts w:asciiTheme="minorHAnsi" w:hAnsiTheme="minorHAnsi" w:cs="Arial"/>
        </w:rPr>
      </w:pPr>
    </w:p>
    <w:p w14:paraId="630F822F" w14:textId="64597993" w:rsidR="008A0214" w:rsidRPr="006558CC" w:rsidRDefault="006558CC" w:rsidP="003F3AA3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6558CC">
        <w:rPr>
          <w:rFonts w:asciiTheme="minorHAnsi" w:hAnsiTheme="minorHAnsi" w:cs="Arial"/>
          <w:sz w:val="18"/>
          <w:szCs w:val="18"/>
        </w:rPr>
        <w:t xml:space="preserve">(aggiornato al </w:t>
      </w:r>
      <w:r w:rsidR="00C56BE7" w:rsidRPr="006558CC">
        <w:rPr>
          <w:rFonts w:asciiTheme="minorHAnsi" w:hAnsiTheme="minorHAnsi" w:cs="Arial"/>
          <w:sz w:val="18"/>
          <w:szCs w:val="18"/>
        </w:rPr>
        <w:t>6 marzo 2018</w:t>
      </w:r>
      <w:r w:rsidRPr="006558CC">
        <w:rPr>
          <w:rFonts w:asciiTheme="minorHAnsi" w:hAnsiTheme="minorHAnsi" w:cs="Arial"/>
          <w:sz w:val="18"/>
          <w:szCs w:val="18"/>
        </w:rPr>
        <w:t>)</w:t>
      </w:r>
      <w:bookmarkStart w:id="0" w:name="_GoBack"/>
      <w:bookmarkEnd w:id="0"/>
    </w:p>
    <w:sectPr w:rsidR="008A0214" w:rsidRPr="006558CC" w:rsidSect="00ED3A09">
      <w:headerReference w:type="default" r:id="rId11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D49C" w14:textId="77777777" w:rsidR="00E054D8" w:rsidRDefault="00E054D8" w:rsidP="00E56986">
      <w:pPr>
        <w:spacing w:after="0" w:line="240" w:lineRule="auto"/>
      </w:pPr>
      <w:r>
        <w:separator/>
      </w:r>
    </w:p>
  </w:endnote>
  <w:endnote w:type="continuationSeparator" w:id="0">
    <w:p w14:paraId="406A4715" w14:textId="77777777" w:rsidR="00E054D8" w:rsidRDefault="00E054D8" w:rsidP="00E5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80F4E" w14:textId="77777777" w:rsidR="00E054D8" w:rsidRDefault="00E054D8" w:rsidP="00E56986">
      <w:pPr>
        <w:spacing w:after="0" w:line="240" w:lineRule="auto"/>
      </w:pPr>
      <w:r>
        <w:separator/>
      </w:r>
    </w:p>
  </w:footnote>
  <w:footnote w:type="continuationSeparator" w:id="0">
    <w:p w14:paraId="2ABBB830" w14:textId="77777777" w:rsidR="00E054D8" w:rsidRDefault="00E054D8" w:rsidP="00E5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7D5F5" w14:textId="29AC7721" w:rsidR="00E56986" w:rsidRDefault="00E56986" w:rsidP="00E56986">
    <w:pPr>
      <w:pStyle w:val="Intestazione"/>
      <w:jc w:val="center"/>
    </w:pPr>
    <w:r w:rsidRPr="003A645A">
      <w:rPr>
        <w:rFonts w:ascii="Arial" w:hAnsi="Arial" w:cs="Arial"/>
        <w:b/>
      </w:rPr>
      <w:t>ORDINE AVVOCAT</w:t>
    </w:r>
    <w:r>
      <w:rPr>
        <w:rFonts w:ascii="Arial" w:hAnsi="Arial" w:cs="Arial"/>
        <w:b/>
      </w:rPr>
      <w:t>I</w:t>
    </w:r>
    <w:r w:rsidRPr="003A645A">
      <w:rPr>
        <w:rFonts w:ascii="Arial" w:hAnsi="Arial" w:cs="Arial"/>
        <w:b/>
      </w:rPr>
      <w:t xml:space="preserve"> DI BRESCIA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4ACE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B83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8E4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0AEF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A47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3C1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FC2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143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B80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960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3056FF"/>
    <w:multiLevelType w:val="multilevel"/>
    <w:tmpl w:val="87D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8C2CA4"/>
    <w:multiLevelType w:val="multilevel"/>
    <w:tmpl w:val="767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EA28BB"/>
    <w:multiLevelType w:val="multilevel"/>
    <w:tmpl w:val="9D9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1E3694"/>
    <w:multiLevelType w:val="hybridMultilevel"/>
    <w:tmpl w:val="0C02F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E6D6C"/>
    <w:multiLevelType w:val="multilevel"/>
    <w:tmpl w:val="396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EF"/>
    <w:rsid w:val="00045160"/>
    <w:rsid w:val="000A5C64"/>
    <w:rsid w:val="000A7C27"/>
    <w:rsid w:val="000B61B7"/>
    <w:rsid w:val="000C5E58"/>
    <w:rsid w:val="001953CA"/>
    <w:rsid w:val="001E53EF"/>
    <w:rsid w:val="00263DD3"/>
    <w:rsid w:val="002B1644"/>
    <w:rsid w:val="002C3542"/>
    <w:rsid w:val="003A785B"/>
    <w:rsid w:val="003E4CF2"/>
    <w:rsid w:val="003F3AA3"/>
    <w:rsid w:val="00413F8E"/>
    <w:rsid w:val="004A7ABB"/>
    <w:rsid w:val="004B2A59"/>
    <w:rsid w:val="0052525D"/>
    <w:rsid w:val="005373BB"/>
    <w:rsid w:val="00592971"/>
    <w:rsid w:val="005C38B9"/>
    <w:rsid w:val="005E436B"/>
    <w:rsid w:val="006558CC"/>
    <w:rsid w:val="006B5E69"/>
    <w:rsid w:val="00764549"/>
    <w:rsid w:val="007E19FE"/>
    <w:rsid w:val="00841976"/>
    <w:rsid w:val="008A0214"/>
    <w:rsid w:val="00984490"/>
    <w:rsid w:val="009933DA"/>
    <w:rsid w:val="00A25CDA"/>
    <w:rsid w:val="00A67733"/>
    <w:rsid w:val="00A77B93"/>
    <w:rsid w:val="00B36472"/>
    <w:rsid w:val="00B40BE2"/>
    <w:rsid w:val="00BB7B4A"/>
    <w:rsid w:val="00C56BE7"/>
    <w:rsid w:val="00CC3DBF"/>
    <w:rsid w:val="00CF0001"/>
    <w:rsid w:val="00DA1637"/>
    <w:rsid w:val="00E054D8"/>
    <w:rsid w:val="00E117A2"/>
    <w:rsid w:val="00E2696D"/>
    <w:rsid w:val="00E56986"/>
    <w:rsid w:val="00ED3A09"/>
    <w:rsid w:val="00F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41B3D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A16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C38B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C38B9"/>
    <w:rPr>
      <w:color w:val="800080"/>
      <w:u w:val="single"/>
    </w:rPr>
  </w:style>
  <w:style w:type="paragraph" w:styleId="NormaleWeb">
    <w:name w:val="Normal (Web)"/>
    <w:basedOn w:val="Normale"/>
    <w:uiPriority w:val="99"/>
    <w:rsid w:val="005E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BB7B4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56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986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56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986"/>
    <w:rPr>
      <w:rFonts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3F3AA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ltalex.com/documents/gazzetta-ufficiale/2016/10/04/gazzetta-ufficiale-ottobre-2016" TargetMode="External"/><Relationship Id="rId8" Type="http://schemas.openxmlformats.org/officeDocument/2006/relationships/hyperlink" Target="https://www.avvocati.oneaffinity.aon.it/login?codiceProdotto=PS12RCPROFESSIONALEE&amp;codConvenzione=AVVOCATI_CNF" TargetMode="External"/><Relationship Id="rId9" Type="http://schemas.openxmlformats.org/officeDocument/2006/relationships/hyperlink" Target="mailto:marcella.bani@aon.it" TargetMode="External"/><Relationship Id="rId10" Type="http://schemas.openxmlformats.org/officeDocument/2006/relationships/hyperlink" Target="mailto:avvocaticnf@ao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976</Words>
  <Characters>5569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L’art</vt:lpstr>
    </vt:vector>
  </TitlesOfParts>
  <Company>HP</Company>
  <LinksUpToDate>false</LinksUpToDate>
  <CharactersWithSpaces>6532</CharactersWithSpaces>
  <SharedDoc>false</SharedDoc>
  <HLinks>
    <vt:vector size="24" baseType="variant">
      <vt:variant>
        <vt:i4>1769570</vt:i4>
      </vt:variant>
      <vt:variant>
        <vt:i4>9</vt:i4>
      </vt:variant>
      <vt:variant>
        <vt:i4>0</vt:i4>
      </vt:variant>
      <vt:variant>
        <vt:i4>5</vt:i4>
      </vt:variant>
      <vt:variant>
        <vt:lpwstr>mailto:elena.venturinio@aon.it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mailto:marcella.bani@aon.it</vt:lpwstr>
      </vt:variant>
      <vt:variant>
        <vt:lpwstr/>
      </vt:variant>
      <vt:variant>
        <vt:i4>5046290</vt:i4>
      </vt:variant>
      <vt:variant>
        <vt:i4>3</vt:i4>
      </vt:variant>
      <vt:variant>
        <vt:i4>0</vt:i4>
      </vt:variant>
      <vt:variant>
        <vt:i4>5</vt:i4>
      </vt:variant>
      <vt:variant>
        <vt:lpwstr>mailto:convenzioni.avvocati.bs@aon.it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http://servizi-it.aongate.it/AonProf/Login.aspx?IDCAT=24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</dc:title>
  <dc:subject/>
  <dc:creator>Giuseppe</dc:creator>
  <cp:keywords/>
  <dc:description/>
  <cp:lastModifiedBy>Ordine Avvocati Brescia</cp:lastModifiedBy>
  <cp:revision>5</cp:revision>
  <cp:lastPrinted>2018-03-07T13:28:00Z</cp:lastPrinted>
  <dcterms:created xsi:type="dcterms:W3CDTF">2018-03-06T14:41:00Z</dcterms:created>
  <dcterms:modified xsi:type="dcterms:W3CDTF">2018-03-21T09:13:00Z</dcterms:modified>
</cp:coreProperties>
</file>